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Century Gothic" w:cs="Century Gothic" w:eastAsia="Century Gothic" w:hAnsi="Century Gothic"/>
          <w:b w:val="1"/>
          <w:sz w:val="48"/>
          <w:szCs w:val="48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48"/>
          <w:szCs w:val="48"/>
          <w:rtl w:val="0"/>
        </w:rPr>
        <w:t xml:space="preserve">MUNICIPALIDAD DE SAN LUCAS SACATEPÉQUEZ, SACATEPÉQUEZ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b="0" l="0" r="0" t="0"/>
            <wp:wrapNone/>
            <wp:docPr id="102881864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1"/>
        <w:tblW w:w="1374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656"/>
        <w:gridCol w:w="8"/>
        <w:gridCol w:w="1866"/>
        <w:gridCol w:w="3701"/>
        <w:gridCol w:w="2160"/>
        <w:gridCol w:w="3354"/>
        <w:tblGridChange w:id="0">
          <w:tblGrid>
            <w:gridCol w:w="2656"/>
            <w:gridCol w:w="8"/>
            <w:gridCol w:w="1866"/>
            <w:gridCol w:w="3701"/>
            <w:gridCol w:w="2160"/>
            <w:gridCol w:w="3354"/>
          </w:tblGrid>
        </w:tblGridChange>
      </w:tblGrid>
      <w:tr>
        <w:trPr>
          <w:cantSplit w:val="0"/>
          <w:tblHeader w:val="0"/>
        </w:trPr>
        <w:tc>
          <w:tcPr>
            <w:gridSpan w:val="2"/>
            <w:shd w:fill="99cc00" w:val="clear"/>
            <w:vAlign w:val="center"/>
          </w:tcPr>
          <w:p w:rsidR="00000000" w:rsidDel="00000000" w:rsidP="00000000" w:rsidRDefault="00000000" w:rsidRPr="00000000" w14:paraId="00000002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Proceso: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04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Presupuesto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06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Identificación:</w:t>
            </w:r>
          </w:p>
        </w:tc>
        <w:tc>
          <w:tcPr/>
          <w:p w:rsidR="00000000" w:rsidDel="00000000" w:rsidP="00000000" w:rsidRDefault="00000000" w:rsidRPr="00000000" w14:paraId="00000007">
            <w:pPr>
              <w:jc w:val="center"/>
              <w:rPr>
                <w:rFonts w:ascii="Century Gothic" w:cs="Century Gothic" w:eastAsia="Century Gothic" w:hAnsi="Century Gothic"/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PR-MSL-DAFIM-DT-UP-GV-01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shd w:fill="99cc00" w:val="clear"/>
            <w:vAlign w:val="center"/>
          </w:tcPr>
          <w:p w:rsidR="00000000" w:rsidDel="00000000" w:rsidP="00000000" w:rsidRDefault="00000000" w:rsidRPr="00000000" w14:paraId="00000008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Procedimiento: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0A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Gasto Variable </w:t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0C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Versión:</w:t>
            </w:r>
          </w:p>
        </w:tc>
        <w:tc>
          <w:tcPr/>
          <w:p w:rsidR="00000000" w:rsidDel="00000000" w:rsidP="00000000" w:rsidRDefault="00000000" w:rsidRPr="00000000" w14:paraId="0000000D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>
            <w:gridSpan w:val="3"/>
            <w:shd w:fill="99cc00" w:val="clear"/>
            <w:vAlign w:val="center"/>
          </w:tcPr>
          <w:p w:rsidR="00000000" w:rsidDel="00000000" w:rsidP="00000000" w:rsidRDefault="00000000" w:rsidRPr="00000000" w14:paraId="0000000E">
            <w:pPr>
              <w:jc w:val="center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Dirección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11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Departamento</w:t>
            </w:r>
          </w:p>
        </w:tc>
        <w:tc>
          <w:tcPr>
            <w:gridSpan w:val="2"/>
            <w:shd w:fill="99cc00" w:val="clear"/>
          </w:tcPr>
          <w:p w:rsidR="00000000" w:rsidDel="00000000" w:rsidP="00000000" w:rsidRDefault="00000000" w:rsidRPr="00000000" w14:paraId="00000012">
            <w:pPr>
              <w:jc w:val="center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Unidad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3"/>
            <w:shd w:fill="auto" w:val="clear"/>
            <w:vAlign w:val="center"/>
          </w:tcPr>
          <w:p w:rsidR="00000000" w:rsidDel="00000000" w:rsidP="00000000" w:rsidRDefault="00000000" w:rsidRPr="00000000" w14:paraId="00000014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Administración Financiera Integrada Municipal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7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Tesorería</w:t>
            </w:r>
          </w:p>
        </w:tc>
        <w:tc>
          <w:tcPr>
            <w:gridSpan w:val="2"/>
            <w:shd w:fill="auto" w:val="clear"/>
          </w:tcPr>
          <w:p w:rsidR="00000000" w:rsidDel="00000000" w:rsidP="00000000" w:rsidRDefault="00000000" w:rsidRPr="00000000" w14:paraId="00000018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Presupuesto </w:t>
            </w:r>
          </w:p>
        </w:tc>
      </w:tr>
      <w:tr>
        <w:trPr>
          <w:cantSplit w:val="0"/>
          <w:trHeight w:val="684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1A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99cc00" w:val="clear"/>
            <w:vAlign w:val="center"/>
          </w:tcPr>
          <w:p w:rsidR="00000000" w:rsidDel="00000000" w:rsidP="00000000" w:rsidRDefault="00000000" w:rsidRPr="00000000" w14:paraId="0000001B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Nombre Completo</w:t>
            </w:r>
          </w:p>
        </w:tc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1E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Firma</w:t>
            </w:r>
          </w:p>
        </w:tc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1F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Fecha de Elaboración</w:t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0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Elaborado por: </w:t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021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Teodoro Chigüichon Sian/Bryan Alexander Baltazar Pérez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24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25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09 de abril de 2025</w:t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6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Puesto: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27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Coordinador Presupuesto/ Auxiliar de Presupuesto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61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C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99cc00" w:val="clear"/>
          </w:tcPr>
          <w:p w:rsidR="00000000" w:rsidDel="00000000" w:rsidP="00000000" w:rsidRDefault="00000000" w:rsidRPr="00000000" w14:paraId="0000002D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30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31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Fecha de Revisado</w:t>
            </w:r>
          </w:p>
        </w:tc>
      </w:tr>
      <w:tr>
        <w:trPr>
          <w:cantSplit w:val="0"/>
          <w:trHeight w:val="574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32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Revisado por:</w:t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033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Licenciado Kelly Edenylson Rosales Saravia 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36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37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28 de julio de 2025</w:t>
            </w:r>
          </w:p>
        </w:tc>
      </w:tr>
      <w:tr>
        <w:trPr>
          <w:cantSplit w:val="0"/>
          <w:trHeight w:val="389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38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Puesto: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39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Director de la Dirección de Administración Financiera Integrada Municipal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5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3E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99cc00" w:val="clear"/>
          </w:tcPr>
          <w:p w:rsidR="00000000" w:rsidDel="00000000" w:rsidP="00000000" w:rsidRDefault="00000000" w:rsidRPr="00000000" w14:paraId="0000003F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42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43">
            <w:pPr>
              <w:jc w:val="center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Fecha de Aprobación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44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Aprobado por: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45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Lic. Yener Haroldo Plaza Natareno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48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49">
            <w:pPr>
              <w:jc w:val="center"/>
              <w:rPr>
                <w:rFonts w:ascii="Century Gothic" w:cs="Century Gothic" w:eastAsia="Century Gothic" w:hAnsi="Century Gothic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rPr>
                <w:rFonts w:ascii="Century Gothic" w:cs="Century Gothic" w:eastAsia="Century Gothic" w:hAnsi="Century Gothic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4B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Puesto: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4C">
            <w:pPr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Alcalde Municipal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1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Objetivo</w:t>
      </w:r>
    </w:p>
    <w:p w:rsidR="00000000" w:rsidDel="00000000" w:rsidP="00000000" w:rsidRDefault="00000000" w:rsidRPr="00000000" w14:paraId="00000052">
      <w:pPr>
        <w:jc w:val="both"/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  <w:rtl w:val="0"/>
        </w:rPr>
        <w:t xml:space="preserve">El procedimiento de registro, y aprobación de un gasto variable en el Sistema de Contabilidad Integrado para Gobiernos Locales -SICOIN GL-, tiene como objeto cumplir con las normas establecidas por el Ministerio de Finanzas Públicas, reconociendo que los servicios tienen su clasificación presupuestaria por el tipo de gastos que se derivan y están establecidas en los estándares legales para cumplir con lo establecido en los preceptos legales </w:t>
      </w:r>
    </w:p>
    <w:p w:rsidR="00000000" w:rsidDel="00000000" w:rsidP="00000000" w:rsidRDefault="00000000" w:rsidRPr="00000000" w14:paraId="00000053">
      <w:pPr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Marco Legal</w:t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Constitución Política de la República de Guatemala</w:t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Código Municipal, Decreto 12-2012</w:t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Ley Orgánica del Presupuesto Decreto 101-97</w:t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Ley de Contrataciones del Estado</w:t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Reglamento Interno de Personal Municipal de la Municipalidad de San Lucas Sacatepéquez</w:t>
      </w:r>
    </w:p>
    <w:p w:rsidR="00000000" w:rsidDel="00000000" w:rsidP="00000000" w:rsidRDefault="00000000" w:rsidRPr="00000000" w14:paraId="0000005A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Normas de Aplicación Interna</w:t>
      </w:r>
    </w:p>
    <w:p w:rsidR="00000000" w:rsidDel="00000000" w:rsidP="00000000" w:rsidRDefault="00000000" w:rsidRPr="00000000" w14:paraId="0000005C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Usuarios</w:t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Personal del Departamento de Compras</w:t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Personal de la Dirección Municipal de Administración Financiera Integrada Municipal (área de Presupuesto) </w:t>
      </w:r>
    </w:p>
    <w:p w:rsidR="00000000" w:rsidDel="00000000" w:rsidP="00000000" w:rsidRDefault="00000000" w:rsidRPr="00000000" w14:paraId="0000005F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Narrativa </w:t>
      </w:r>
    </w:p>
    <w:tbl>
      <w:tblPr>
        <w:tblStyle w:val="Table2"/>
        <w:tblW w:w="1374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271"/>
        <w:gridCol w:w="8647"/>
        <w:gridCol w:w="3822"/>
        <w:tblGridChange w:id="0">
          <w:tblGrid>
            <w:gridCol w:w="1271"/>
            <w:gridCol w:w="8647"/>
            <w:gridCol w:w="3822"/>
          </w:tblGrid>
        </w:tblGridChange>
      </w:tblGrid>
      <w:tr>
        <w:trPr>
          <w:cantSplit w:val="0"/>
          <w:tblHeader w:val="0"/>
        </w:trPr>
        <w:tc>
          <w:tcPr>
            <w:shd w:fill="92d050" w:val="clear"/>
          </w:tcPr>
          <w:p w:rsidR="00000000" w:rsidDel="00000000" w:rsidP="00000000" w:rsidRDefault="00000000" w:rsidRPr="00000000" w14:paraId="00000061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No.</w:t>
            </w:r>
          </w:p>
        </w:tc>
        <w:tc>
          <w:tcPr>
            <w:shd w:fill="92d050" w:val="clear"/>
          </w:tcPr>
          <w:p w:rsidR="00000000" w:rsidDel="00000000" w:rsidP="00000000" w:rsidRDefault="00000000" w:rsidRPr="00000000" w14:paraId="00000062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Actividad</w:t>
            </w:r>
          </w:p>
        </w:tc>
        <w:tc>
          <w:tcPr>
            <w:shd w:fill="92d050" w:val="clear"/>
          </w:tcPr>
          <w:p w:rsidR="00000000" w:rsidDel="00000000" w:rsidP="00000000" w:rsidRDefault="00000000" w:rsidRPr="00000000" w14:paraId="00000063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Responsable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4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1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65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Trasladar al área de Presupuesto los diversos expedientes, los cuales deben cumplir con toda la documentación que valide el proceso de pago.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6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Departamento de Compras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7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2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68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Recibir cada expediente y velar que satisfaga todos los estándares de cumplimiento externo como interno.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9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Encargados del área de presupuesto.</w:t>
            </w:r>
          </w:p>
          <w:p w:rsidR="00000000" w:rsidDel="00000000" w:rsidP="00000000" w:rsidRDefault="00000000" w:rsidRPr="00000000" w14:paraId="0000006A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B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3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6C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Revisar cada expediente por esta modalidad de pago que se debe regir a lo establecido en la ley, así como velar que sean aplicables los renglones presupuestarios.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E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4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6F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Proceder a su registro dentro del Sistema de Contabilidad Integrada para Gobiernos Locales -SICOIN GL- establecido por el Ministerio de Finanzas Públicas. 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1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5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72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Imprimir el expediente del gasto variable y se traslada a la Coordinación de Contabilidad, para su verificación que todo esté correcto.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4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6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75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Realizar la verificación y trasladar nuevamente a presupuesto.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7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7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78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Gestionar el proceso de aprobación de creación y aprobación presupuestaria por cada expediente recibido.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A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8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7B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Trasladar los expedientes en estado aprobado a Tesorería para su gestión de pago total 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D">
      <w:pPr>
        <w:jc w:val="center"/>
        <w:rPr>
          <w:rFonts w:ascii="Century Gothic" w:cs="Century Gothic" w:eastAsia="Century Gothic" w:hAnsi="Century Gothic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jc w:val="center"/>
        <w:rPr>
          <w:rFonts w:ascii="Century Gothic" w:cs="Century Gothic" w:eastAsia="Century Gothic" w:hAnsi="Century Gothic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jc w:val="center"/>
        <w:rPr>
          <w:rFonts w:ascii="Century Gothic" w:cs="Century Gothic" w:eastAsia="Century Gothic" w:hAnsi="Century Gothic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jc w:val="center"/>
        <w:rPr>
          <w:rFonts w:ascii="Century Gothic" w:cs="Century Gothic" w:eastAsia="Century Gothic" w:hAnsi="Century Gothic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jc w:val="center"/>
        <w:rPr>
          <w:rFonts w:ascii="Century Gothic" w:cs="Century Gothic" w:eastAsia="Century Gothic" w:hAnsi="Century Gothic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jc w:val="center"/>
        <w:rPr>
          <w:rFonts w:ascii="Century Gothic" w:cs="Century Gothic" w:eastAsia="Century Gothic" w:hAnsi="Century Gothic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jc w:val="center"/>
        <w:rPr>
          <w:rFonts w:ascii="Century Gothic" w:cs="Century Gothic" w:eastAsia="Century Gothic" w:hAnsi="Century Gothic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jc w:val="center"/>
        <w:rPr>
          <w:rFonts w:ascii="Century Gothic" w:cs="Century Gothic" w:eastAsia="Century Gothic" w:hAnsi="Century Gothic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Diagrama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jc w:val="center"/>
        <w:rPr>
          <w:rFonts w:ascii="Century Gothic" w:cs="Century Gothic" w:eastAsia="Century Gothic" w:hAnsi="Century Gothic"/>
          <w:sz w:val="36"/>
          <w:szCs w:val="36"/>
        </w:rPr>
      </w:pPr>
      <w:r w:rsidDel="00000000" w:rsidR="00000000" w:rsidRPr="00000000">
        <w:rPr/>
        <w:drawing>
          <wp:inline distB="0" distT="0" distL="0" distR="0">
            <wp:extent cx="6300153" cy="3928747"/>
            <wp:effectExtent b="0" l="0" r="0" t="0"/>
            <wp:docPr id="102881864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15958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00153" cy="39287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bookmarkStart w:colFirst="0" w:colLast="0" w:name="_heading=h.uehd1ha9wosf" w:id="0"/>
      <w:bookmarkEnd w:id="0"/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Tabla de Anexos</w:t>
      </w:r>
    </w:p>
    <w:tbl>
      <w:tblPr>
        <w:tblStyle w:val="Table3"/>
        <w:tblW w:w="1356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674"/>
        <w:gridCol w:w="11891"/>
        <w:tblGridChange w:id="0">
          <w:tblGrid>
            <w:gridCol w:w="1674"/>
            <w:gridCol w:w="11891"/>
          </w:tblGrid>
        </w:tblGridChange>
      </w:tblGrid>
      <w:tr>
        <w:trPr>
          <w:cantSplit w:val="0"/>
          <w:trHeight w:val="470" w:hRule="atLeast"/>
          <w:tblHeader w:val="0"/>
        </w:trPr>
        <w:tc>
          <w:tcPr/>
          <w:p w:rsidR="00000000" w:rsidDel="00000000" w:rsidP="00000000" w:rsidRDefault="00000000" w:rsidRPr="00000000" w14:paraId="00000087">
            <w:pPr>
              <w:jc w:val="center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36"/>
                <w:szCs w:val="36"/>
                <w:rtl w:val="0"/>
              </w:rPr>
              <w:t xml:space="preserve">No.</w:t>
            </w:r>
          </w:p>
        </w:tc>
        <w:tc>
          <w:tcPr/>
          <w:p w:rsidR="00000000" w:rsidDel="00000000" w:rsidP="00000000" w:rsidRDefault="00000000" w:rsidRPr="00000000" w14:paraId="00000088">
            <w:pPr>
              <w:jc w:val="center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36"/>
                <w:szCs w:val="36"/>
                <w:rtl w:val="0"/>
              </w:rPr>
              <w:t xml:space="preserve">Anexo</w:t>
            </w:r>
          </w:p>
        </w:tc>
      </w:tr>
      <w:tr>
        <w:trPr>
          <w:cantSplit w:val="0"/>
          <w:trHeight w:val="399" w:hRule="atLeast"/>
          <w:tblHeader w:val="0"/>
        </w:trPr>
        <w:tc>
          <w:tcPr/>
          <w:p w:rsidR="00000000" w:rsidDel="00000000" w:rsidP="00000000" w:rsidRDefault="00000000" w:rsidRPr="00000000" w14:paraId="00000089">
            <w:pPr>
              <w:jc w:val="center"/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8A">
            <w:pPr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Gastos recurrentes variables</w:t>
            </w:r>
          </w:p>
        </w:tc>
      </w:tr>
    </w:tbl>
    <w:p w:rsidR="00000000" w:rsidDel="00000000" w:rsidP="00000000" w:rsidRDefault="00000000" w:rsidRPr="00000000" w14:paraId="0000008B">
      <w:pPr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  <w:rtl w:val="0"/>
        </w:rPr>
        <w:t xml:space="preserve"> Anexo 1 Gastos recurrentes variables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2621915</wp:posOffset>
            </wp:positionH>
            <wp:positionV relativeFrom="paragraph">
              <wp:posOffset>280670</wp:posOffset>
            </wp:positionV>
            <wp:extent cx="2331403" cy="2992458"/>
            <wp:effectExtent b="0" l="0" r="0" t="0"/>
            <wp:wrapSquare wrapText="bothSides" distB="0" distT="0" distL="114300" distR="114300"/>
            <wp:docPr id="102881864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31403" cy="299245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headerReference r:id="rId10" w:type="default"/>
      <w:footerReference r:id="rId11" w:type="default"/>
      <w:footerReference r:id="rId12" w:type="first"/>
      <w:pgSz w:h="12240" w:w="15840" w:orient="landscape"/>
      <w:pgMar w:bottom="1440" w:top="1440" w:left="851" w:right="1239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  <w:font w:name="Century Gothic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A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Página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Página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8C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Century Gothic" w:cs="Century Gothic" w:eastAsia="Century Gothic" w:hAnsi="Century Gothic"/>
        <w:b w:val="1"/>
        <w:sz w:val="36"/>
        <w:szCs w:val="36"/>
      </w:rPr>
    </w:pPr>
    <w:r w:rsidDel="00000000" w:rsidR="00000000" w:rsidRPr="00000000">
      <w:rPr>
        <w:rtl w:val="0"/>
      </w:rPr>
    </w:r>
  </w:p>
  <w:tbl>
    <w:tblPr>
      <w:tblStyle w:val="Table4"/>
      <w:tblW w:w="13591.0" w:type="dxa"/>
      <w:jc w:val="left"/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  <w:tblLayout w:type="fixed"/>
      <w:tblLook w:val="0400"/>
    </w:tblPr>
    <w:tblGrid>
      <w:gridCol w:w="3220"/>
      <w:gridCol w:w="7468"/>
      <w:gridCol w:w="2903"/>
      <w:tblGridChange w:id="0">
        <w:tblGrid>
          <w:gridCol w:w="3220"/>
          <w:gridCol w:w="7468"/>
          <w:gridCol w:w="2903"/>
        </w:tblGrid>
      </w:tblGridChange>
    </w:tblGrid>
    <w:tr>
      <w:trPr>
        <w:cantSplit w:val="0"/>
        <w:trHeight w:val="424" w:hRule="atLeast"/>
        <w:tblHeader w:val="0"/>
      </w:trPr>
      <w:tc>
        <w:tcPr>
          <w:vMerge w:val="restart"/>
        </w:tcPr>
        <w:p w:rsidR="00000000" w:rsidDel="00000000" w:rsidP="00000000" w:rsidRDefault="00000000" w:rsidRPr="00000000" w14:paraId="0000008D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b="0" l="0" r="0" t="0"/>
                <wp:wrapNone/>
                <wp:docPr id="1028818644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vMerge w:val="restart"/>
          <w:vAlign w:val="center"/>
        </w:tcPr>
        <w:p w:rsidR="00000000" w:rsidDel="00000000" w:rsidP="00000000" w:rsidRDefault="00000000" w:rsidRPr="00000000" w14:paraId="0000008E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Procedimiento</w:t>
          </w: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 Gasto Variable</w:t>
          </w: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8F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Identificación:</w:t>
          </w:r>
        </w:p>
      </w:tc>
    </w:tr>
    <w:tr>
      <w:trPr>
        <w:cantSplit w:val="0"/>
        <w:trHeight w:val="423" w:hRule="atLeast"/>
        <w:tblHeader w:val="0"/>
      </w:trPr>
      <w:tc>
        <w:tcPr>
          <w:vMerge w:val="continue"/>
        </w:tcPr>
        <w:p w:rsidR="00000000" w:rsidDel="00000000" w:rsidP="00000000" w:rsidRDefault="00000000" w:rsidRPr="00000000" w14:paraId="00000090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vAlign w:val="center"/>
        </w:tcPr>
        <w:p w:rsidR="00000000" w:rsidDel="00000000" w:rsidP="00000000" w:rsidRDefault="00000000" w:rsidRPr="00000000" w14:paraId="00000091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92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PR-MSL-DAFIM-T-UP-GV-01</w:t>
          </w:r>
          <w:r w:rsidDel="00000000" w:rsidR="00000000" w:rsidRPr="00000000">
            <w:rPr>
              <w:rtl w:val="0"/>
            </w:rPr>
          </w:r>
        </w:p>
      </w:tc>
    </w:tr>
    <w:tr>
      <w:trPr>
        <w:cantSplit w:val="0"/>
        <w:trHeight w:val="424" w:hRule="atLeast"/>
        <w:tblHeader w:val="0"/>
      </w:trPr>
      <w:tc>
        <w:tcPr>
          <w:vMerge w:val="continue"/>
        </w:tcPr>
        <w:p w:rsidR="00000000" w:rsidDel="00000000" w:rsidP="00000000" w:rsidRDefault="00000000" w:rsidRPr="00000000" w14:paraId="00000093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vAlign w:val="center"/>
        </w:tcPr>
        <w:p w:rsidR="00000000" w:rsidDel="00000000" w:rsidP="00000000" w:rsidRDefault="00000000" w:rsidRPr="00000000" w14:paraId="00000094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95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Versión</w:t>
          </w:r>
        </w:p>
      </w:tc>
    </w:tr>
    <w:tr>
      <w:trPr>
        <w:cantSplit w:val="0"/>
        <w:trHeight w:val="423" w:hRule="atLeast"/>
        <w:tblHeader w:val="0"/>
      </w:trPr>
      <w:tc>
        <w:tcPr>
          <w:vMerge w:val="continue"/>
        </w:tcPr>
        <w:p w:rsidR="00000000" w:rsidDel="00000000" w:rsidP="00000000" w:rsidRDefault="00000000" w:rsidRPr="00000000" w14:paraId="00000096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vAlign w:val="center"/>
        </w:tcPr>
        <w:p w:rsidR="00000000" w:rsidDel="00000000" w:rsidP="00000000" w:rsidRDefault="00000000" w:rsidRPr="00000000" w14:paraId="00000097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98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</w:t>
          </w:r>
        </w:p>
      </w:tc>
    </w:tr>
  </w:tbl>
  <w:p w:rsidR="00000000" w:rsidDel="00000000" w:rsidP="00000000" w:rsidRDefault="00000000" w:rsidRPr="00000000" w14:paraId="0000009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2"/>
        <w:szCs w:val="22"/>
        <w:lang w:val="es-GT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4A77F7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4A77F7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4A77F7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4A77F7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4A77F7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4A77F7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4A77F7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4A77F7"/>
    <w:rPr>
      <w:rFonts w:cstheme="majorBidi" w:eastAsiaTheme="majorEastAsia"/>
      <w:color w:val="0f4761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4A77F7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4A77F7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4A77F7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4A77F7"/>
    <w:rPr>
      <w:rFonts w:cstheme="majorBidi" w:eastAsiaTheme="majorEastAsia"/>
      <w:color w:val="272727" w:themeColor="text1" w:themeTint="0000D8"/>
    </w:rPr>
  </w:style>
  <w:style w:type="character" w:styleId="TitleChar" w:customStyle="1">
    <w:name w:val="Title Char"/>
    <w:basedOn w:val="DefaultParagraphFont"/>
    <w:link w:val="Title"/>
    <w:uiPriority w:val="10"/>
    <w:rsid w:val="004A77F7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sid w:val="004A77F7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4A77F7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4A77F7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4A77F7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4A77F7"/>
    <w:rPr>
      <w:i w:val="1"/>
      <w:iCs w:val="1"/>
      <w:color w:val="0f4761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4A77F7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4A77F7"/>
    <w:rPr>
      <w:i w:val="1"/>
      <w:iCs w:val="1"/>
      <w:color w:val="0f4761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4A77F7"/>
    <w:rPr>
      <w:b w:val="1"/>
      <w:bCs w:val="1"/>
      <w:smallCaps w:val="1"/>
      <w:color w:val="0f4761" w:themeColor="accent1" w:themeShade="0000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Header">
    <w:name w:val="header"/>
    <w:basedOn w:val="Normal"/>
    <w:link w:val="HeaderChar"/>
    <w:uiPriority w:val="99"/>
    <w:unhideWhenUsed w:val="1"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 w:val="1"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2C793B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1.xml"/><Relationship Id="rId10" Type="http://schemas.openxmlformats.org/officeDocument/2006/relationships/header" Target="header1.xml"/><Relationship Id="rId12" Type="http://schemas.openxmlformats.org/officeDocument/2006/relationships/footer" Target="footer2.xml"/><Relationship Id="rId9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Relationship Id="rId5" Type="http://schemas.openxmlformats.org/officeDocument/2006/relationships/font" Target="fonts/CenturyGothic-regular.ttf"/><Relationship Id="rId6" Type="http://schemas.openxmlformats.org/officeDocument/2006/relationships/font" Target="fonts/CenturyGothic-bold.ttf"/><Relationship Id="rId7" Type="http://schemas.openxmlformats.org/officeDocument/2006/relationships/font" Target="fonts/CenturyGothic-italic.ttf"/><Relationship Id="rId8" Type="http://schemas.openxmlformats.org/officeDocument/2006/relationships/font" Target="fonts/CenturyGothic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RAydL0ZJaMa5xAD7fKmAi96Y9g==">CgMxLjAyDmgudWVoZDFoYTl3b3NmOAByITFyaTctSkVWLWpkaDdrTkNDekV6QnA3YThRak5Id1Zmbg==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2025-04-10T18:17:00Z</dcterms:created>
  <dc:creator>William Fernando Cambara Cortez</dc:creator>
</cp:coreProperties>
</file>